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0B4F" w14:textId="77777777" w:rsidR="007A0A32" w:rsidRDefault="007A0A32" w:rsidP="007A0A32">
      <w:pPr>
        <w:jc w:val="right"/>
      </w:pPr>
      <w:r>
        <w:rPr>
          <w:noProof/>
        </w:rPr>
        <w:pict w14:anchorId="6DACAA64">
          <v:shapetype id="_x0000_t202" coordsize="21600,21600" o:spt="202" path="m,l,21600r21600,l21600,xe">
            <v:stroke joinstyle="miter"/>
            <v:path gradientshapeok="t" o:connecttype="rect"/>
          </v:shapetype>
          <v:shape id="_x0000_s1026" type="#_x0000_t202" style="position:absolute;left:0;text-align:left;margin-left:-18pt;margin-top:46.2pt;width:377.4pt;height:120.6pt;z-index:251657728" stroked="f">
            <v:textbox style="mso-next-textbox:#_x0000_s1026">
              <w:txbxContent>
                <w:p w14:paraId="05F58E1C" w14:textId="77777777" w:rsidR="000557D6" w:rsidRDefault="000557D6" w:rsidP="007A0A32">
                  <w:pPr>
                    <w:pStyle w:val="Heading1"/>
                    <w:rPr>
                      <w:i/>
                      <w:sz w:val="48"/>
                    </w:rPr>
                  </w:pPr>
                  <w:r>
                    <w:rPr>
                      <w:i/>
                      <w:sz w:val="48"/>
                    </w:rPr>
                    <w:t>Chiseldon Parish Council</w:t>
                  </w:r>
                </w:p>
                <w:p w14:paraId="38596B3D" w14:textId="77777777" w:rsidR="000557D6" w:rsidRDefault="000557D6" w:rsidP="007A0A32"/>
                <w:p w14:paraId="5973DD4C"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4CFD9A27"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380FB970"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5" w:history="1">
                    <w:r w:rsidR="00153E8E" w:rsidRPr="00442558">
                      <w:rPr>
                        <w:rStyle w:val="Hyperlink"/>
                        <w:rFonts w:ascii="Verdana" w:hAnsi="Verdana" w:cs="Arial"/>
                        <w:sz w:val="20"/>
                      </w:rPr>
                      <w:t>clerk@chiseldon-pc.gov.uk</w:t>
                    </w:r>
                  </w:hyperlink>
                </w:p>
                <w:p w14:paraId="4E49CD69" w14:textId="77777777" w:rsidR="005B13F0" w:rsidRDefault="005B13F0" w:rsidP="005B13F0">
                  <w:pPr>
                    <w:jc w:val="center"/>
                    <w:rPr>
                      <w:rFonts w:ascii="Verdana" w:hAnsi="Verdana" w:cs="Arial"/>
                      <w:sz w:val="20"/>
                    </w:rPr>
                  </w:pPr>
                  <w:r>
                    <w:rPr>
                      <w:rFonts w:ascii="Verdana" w:hAnsi="Verdana" w:cs="Arial"/>
                      <w:sz w:val="20"/>
                    </w:rPr>
                    <w:t>Facebook page: Chiseldon Parish Council Notices</w:t>
                  </w:r>
                </w:p>
                <w:p w14:paraId="005A192E" w14:textId="77777777" w:rsidR="005B13F0" w:rsidRDefault="005B13F0" w:rsidP="005B13F0">
                  <w:pPr>
                    <w:jc w:val="center"/>
                    <w:rPr>
                      <w:rFonts w:ascii="Verdana" w:hAnsi="Verdana" w:cs="Arial"/>
                      <w:sz w:val="20"/>
                    </w:rPr>
                  </w:pPr>
                  <w:r>
                    <w:rPr>
                      <w:rFonts w:ascii="Verdana" w:hAnsi="Verdana" w:cs="Arial"/>
                      <w:sz w:val="20"/>
                    </w:rPr>
                    <w:t>Website: www.chiseldon-pc.gov.uk</w:t>
                  </w:r>
                </w:p>
                <w:p w14:paraId="1B8499A2" w14:textId="77777777" w:rsidR="005B13F0" w:rsidRDefault="005B13F0" w:rsidP="007A0A32">
                  <w:pPr>
                    <w:jc w:val="center"/>
                    <w:rPr>
                      <w:rFonts w:ascii="Verdana" w:hAnsi="Verdana" w:cs="Arial"/>
                      <w:sz w:val="20"/>
                    </w:rPr>
                  </w:pPr>
                </w:p>
                <w:p w14:paraId="49069DDD" w14:textId="77777777" w:rsidR="000557D6" w:rsidRPr="00FF2E7E" w:rsidRDefault="000557D6" w:rsidP="00FF2E7E">
                  <w:pPr>
                    <w:rPr>
                      <w:rFonts w:ascii="Verdana" w:hAnsi="Verdana" w:cs="Arial"/>
                      <w:sz w:val="20"/>
                    </w:rPr>
                  </w:pPr>
                </w:p>
              </w:txbxContent>
            </v:textbox>
          </v:shape>
        </w:pict>
      </w:r>
      <w:r w:rsidR="00FE6ED9">
        <w:rPr>
          <w:noProof/>
          <w:lang w:eastAsia="en-GB"/>
        </w:rPr>
        <w:pict w14:anchorId="1411B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05pt;height:85.05pt">
            <v:imagedata r:id="rId6" o:title="Chiseldon letter logo (New Nov 2017)"/>
          </v:shape>
        </w:pict>
      </w:r>
    </w:p>
    <w:p w14:paraId="36DCD138" w14:textId="77777777" w:rsidR="007A0A32" w:rsidRDefault="007A0A32" w:rsidP="007A0A32">
      <w:pPr>
        <w:rPr>
          <w:sz w:val="20"/>
          <w:szCs w:val="20"/>
        </w:rPr>
      </w:pPr>
    </w:p>
    <w:p w14:paraId="505328B6" w14:textId="77777777" w:rsidR="001B1794" w:rsidRDefault="001B1794" w:rsidP="007A0A32">
      <w:pPr>
        <w:jc w:val="both"/>
        <w:rPr>
          <w:rFonts w:ascii="Verdana" w:hAnsi="Verdana"/>
        </w:rPr>
      </w:pPr>
    </w:p>
    <w:p w14:paraId="214DA004" w14:textId="77777777" w:rsidR="00FF2E7E" w:rsidRDefault="00FF2E7E" w:rsidP="00D304B8">
      <w:pPr>
        <w:rPr>
          <w:rFonts w:ascii="Verdana" w:hAnsi="Verdana"/>
          <w:b/>
        </w:rPr>
      </w:pPr>
      <w:r w:rsidRPr="00FF2E7E">
        <w:rPr>
          <w:rFonts w:ascii="Verdana" w:hAnsi="Verdana"/>
          <w:b/>
        </w:rPr>
        <w:t xml:space="preserve"> </w:t>
      </w:r>
    </w:p>
    <w:p w14:paraId="3A008163" w14:textId="77777777" w:rsidR="00B45C84" w:rsidRDefault="00B45C84" w:rsidP="00D304B8">
      <w:pPr>
        <w:rPr>
          <w:rFonts w:ascii="Verdana" w:hAnsi="Verdana"/>
          <w:b/>
        </w:rPr>
      </w:pPr>
    </w:p>
    <w:p w14:paraId="407074D4" w14:textId="77777777" w:rsidR="00B45C84" w:rsidRDefault="00B45C84" w:rsidP="00D304B8">
      <w:pPr>
        <w:rPr>
          <w:rFonts w:ascii="Verdana" w:hAnsi="Verdana"/>
          <w:b/>
        </w:rPr>
      </w:pPr>
    </w:p>
    <w:p w14:paraId="353EB5E5" w14:textId="77777777" w:rsidR="00C66C97" w:rsidRDefault="00C66C97" w:rsidP="00D304B8">
      <w:pPr>
        <w:rPr>
          <w:rFonts w:ascii="Verdana" w:hAnsi="Verdana"/>
          <w:b/>
        </w:rPr>
      </w:pPr>
    </w:p>
    <w:p w14:paraId="41D4D39B" w14:textId="77777777" w:rsidR="00B45C84" w:rsidRDefault="00B45C84" w:rsidP="00D304B8">
      <w:pPr>
        <w:rPr>
          <w:rFonts w:ascii="Verdana" w:hAnsi="Verdana"/>
          <w:b/>
        </w:rPr>
      </w:pPr>
      <w:r>
        <w:rPr>
          <w:rFonts w:ascii="Verdana" w:hAnsi="Verdana"/>
          <w:b/>
        </w:rPr>
        <w:t>Planning, Transport Development &amp; Highways mee</w:t>
      </w:r>
      <w:r w:rsidR="000B372D">
        <w:rPr>
          <w:rFonts w:ascii="Verdana" w:hAnsi="Verdana"/>
          <w:b/>
        </w:rPr>
        <w:t>ting Additional information 27.8</w:t>
      </w:r>
      <w:r>
        <w:rPr>
          <w:rFonts w:ascii="Verdana" w:hAnsi="Verdana"/>
          <w:b/>
        </w:rPr>
        <w:t>.2020</w:t>
      </w:r>
    </w:p>
    <w:p w14:paraId="1CC6AABE" w14:textId="77777777" w:rsidR="00C66C97" w:rsidRDefault="00C66C97" w:rsidP="003F3184">
      <w:pPr>
        <w:rPr>
          <w:rFonts w:ascii="Verdana" w:hAnsi="Verdana"/>
          <w:b/>
          <w:sz w:val="22"/>
        </w:rPr>
      </w:pPr>
    </w:p>
    <w:p w14:paraId="0C90EECD" w14:textId="77777777" w:rsidR="000B372D" w:rsidRDefault="000B372D" w:rsidP="000B372D">
      <w:pPr>
        <w:rPr>
          <w:rFonts w:ascii="Verdana" w:hAnsi="Verdana"/>
          <w:b/>
          <w:sz w:val="22"/>
        </w:rPr>
      </w:pPr>
      <w:r>
        <w:rPr>
          <w:rFonts w:ascii="Verdana" w:hAnsi="Verdana"/>
          <w:b/>
          <w:sz w:val="22"/>
        </w:rPr>
        <w:t>Item 7. From NALC (National Association of Local Councils)</w:t>
      </w:r>
    </w:p>
    <w:p w14:paraId="2F25F5A8" w14:textId="77777777" w:rsidR="000B372D" w:rsidRDefault="000B372D" w:rsidP="000B372D">
      <w:pPr>
        <w:rPr>
          <w:rFonts w:ascii="Verdana" w:hAnsi="Verdana"/>
          <w:b/>
          <w:sz w:val="22"/>
        </w:rPr>
      </w:pPr>
    </w:p>
    <w:tbl>
      <w:tblPr>
        <w:tblpPr w:leftFromText="36" w:rightFromText="36" w:vertAnchor="text"/>
        <w:tblW w:w="5000" w:type="pct"/>
        <w:tblCellMar>
          <w:left w:w="0" w:type="dxa"/>
          <w:right w:w="0" w:type="dxa"/>
        </w:tblCellMar>
        <w:tblLook w:val="04A0" w:firstRow="1" w:lastRow="0" w:firstColumn="1" w:lastColumn="0" w:noHBand="0" w:noVBand="1"/>
      </w:tblPr>
      <w:tblGrid>
        <w:gridCol w:w="9900"/>
      </w:tblGrid>
      <w:tr w:rsidR="000B372D" w14:paraId="7C98333B" w14:textId="77777777" w:rsidTr="000B372D">
        <w:tc>
          <w:tcPr>
            <w:tcW w:w="0" w:type="auto"/>
            <w:tcMar>
              <w:top w:w="0" w:type="dxa"/>
              <w:left w:w="270" w:type="dxa"/>
              <w:bottom w:w="135" w:type="dxa"/>
              <w:right w:w="270" w:type="dxa"/>
            </w:tcMar>
            <w:hideMark/>
          </w:tcPr>
          <w:p w14:paraId="5E4DF6EF" w14:textId="77777777" w:rsidR="000B372D" w:rsidRDefault="000B372D" w:rsidP="000B372D">
            <w:pPr>
              <w:pStyle w:val="Heading1"/>
            </w:pPr>
            <w:r>
              <w:t>Chief executive's bulletin</w:t>
            </w:r>
          </w:p>
          <w:p w14:paraId="700724E9" w14:textId="77777777" w:rsidR="000B372D" w:rsidRPr="000B372D" w:rsidRDefault="000B372D" w:rsidP="000B372D">
            <w:pPr>
              <w:pStyle w:val="Heading1"/>
              <w:rPr>
                <w:sz w:val="60"/>
                <w:szCs w:val="60"/>
              </w:rPr>
            </w:pPr>
            <w:r>
              <w:rPr>
                <w:rFonts w:ascii="Helvetica" w:hAnsi="Helvetica"/>
                <w:color w:val="5C5C5C"/>
                <w:sz w:val="21"/>
                <w:szCs w:val="21"/>
              </w:rPr>
              <w:t> </w:t>
            </w:r>
          </w:p>
          <w:p w14:paraId="5D1FE2AC" w14:textId="77777777" w:rsidR="00E72817" w:rsidRPr="00191E3F" w:rsidRDefault="000B372D" w:rsidP="00E72817">
            <w:pPr>
              <w:spacing w:before="150" w:after="150" w:line="360" w:lineRule="auto"/>
              <w:rPr>
                <w:rFonts w:ascii="Helvetica" w:hAnsi="Helvetica"/>
                <w:color w:val="5C5C5C"/>
                <w:sz w:val="20"/>
                <w:szCs w:val="21"/>
              </w:rPr>
            </w:pPr>
            <w:r w:rsidRPr="00191E3F">
              <w:rPr>
                <w:rStyle w:val="Strong"/>
                <w:rFonts w:ascii="Helvetica" w:hAnsi="Helvetica"/>
                <w:color w:val="5C5C5C"/>
                <w:sz w:val="20"/>
                <w:szCs w:val="21"/>
              </w:rPr>
              <w:t>Planning white paper</w:t>
            </w:r>
            <w:r w:rsidRPr="00191E3F">
              <w:rPr>
                <w:rFonts w:ascii="Helvetica" w:hAnsi="Helvetica"/>
                <w:color w:val="5C5C5C"/>
                <w:sz w:val="20"/>
                <w:szCs w:val="21"/>
              </w:rPr>
              <w:br/>
              <w:t>I’m sure at the weekend many of you will have read the media’s trailing of likely proposals in the government’s planning white paper, well the wait is over as this was published on 6 August. I think it’s fair to say the radical proposals in </w:t>
            </w:r>
            <w:hyperlink r:id="rId7" w:history="1">
              <w:r w:rsidRPr="00191E3F">
                <w:rPr>
                  <w:rStyle w:val="Hyperlink"/>
                  <w:rFonts w:ascii="Helvetica" w:hAnsi="Helvetica"/>
                  <w:b/>
                  <w:bCs/>
                  <w:i/>
                  <w:iCs/>
                  <w:color w:val="00879B"/>
                  <w:sz w:val="20"/>
                  <w:szCs w:val="21"/>
                </w:rPr>
                <w:t>Pla</w:t>
              </w:r>
              <w:r w:rsidRPr="00191E3F">
                <w:rPr>
                  <w:rStyle w:val="Hyperlink"/>
                  <w:rFonts w:ascii="Helvetica" w:hAnsi="Helvetica"/>
                  <w:b/>
                  <w:bCs/>
                  <w:i/>
                  <w:iCs/>
                  <w:color w:val="00879B"/>
                  <w:sz w:val="20"/>
                  <w:szCs w:val="21"/>
                </w:rPr>
                <w:t>nning for the future</w:t>
              </w:r>
            </w:hyperlink>
            <w:r w:rsidRPr="00191E3F">
              <w:rPr>
                <w:rFonts w:ascii="Helvetica" w:hAnsi="Helvetica"/>
                <w:color w:val="5C5C5C"/>
                <w:sz w:val="20"/>
                <w:szCs w:val="21"/>
              </w:rPr>
              <w:t> have provoked quite a response, and you can read our short initial reaction </w:t>
            </w:r>
            <w:hyperlink r:id="rId8" w:history="1">
              <w:r w:rsidRPr="00191E3F">
                <w:rPr>
                  <w:rStyle w:val="Hyperlink"/>
                  <w:rFonts w:ascii="Helvetica" w:hAnsi="Helvetica"/>
                  <w:b/>
                  <w:bCs/>
                  <w:color w:val="00879B"/>
                  <w:sz w:val="20"/>
                  <w:szCs w:val="21"/>
                </w:rPr>
                <w:t>here</w:t>
              </w:r>
            </w:hyperlink>
            <w:r w:rsidRPr="00191E3F">
              <w:rPr>
                <w:rFonts w:ascii="Helvetica" w:hAnsi="Helvetica"/>
                <w:color w:val="5C5C5C"/>
                <w:sz w:val="20"/>
                <w:szCs w:val="21"/>
              </w:rPr>
              <w:t>.</w:t>
            </w:r>
            <w:r w:rsidR="00E72817" w:rsidRPr="00191E3F">
              <w:rPr>
                <w:rFonts w:ascii="Helvetica" w:hAnsi="Helvetica"/>
                <w:color w:val="5C5C5C"/>
                <w:sz w:val="20"/>
                <w:szCs w:val="21"/>
              </w:rPr>
              <w:t xml:space="preserve">    (Right click on the underlined link</w:t>
            </w:r>
            <w:r w:rsidR="00191E3F" w:rsidRPr="00191E3F">
              <w:rPr>
                <w:rFonts w:ascii="Helvetica" w:hAnsi="Helvetica"/>
                <w:color w:val="5C5C5C"/>
                <w:sz w:val="20"/>
                <w:szCs w:val="21"/>
              </w:rPr>
              <w:t>s</w:t>
            </w:r>
            <w:r w:rsidR="00E72817" w:rsidRPr="00191E3F">
              <w:rPr>
                <w:rFonts w:ascii="Helvetica" w:hAnsi="Helvetica"/>
                <w:color w:val="5C5C5C"/>
                <w:sz w:val="20"/>
                <w:szCs w:val="21"/>
              </w:rPr>
              <w:t xml:space="preserve"> and “open</w:t>
            </w:r>
            <w:r w:rsidR="00191E3F" w:rsidRPr="00191E3F">
              <w:rPr>
                <w:rFonts w:ascii="Helvetica" w:hAnsi="Helvetica"/>
                <w:color w:val="5C5C5C"/>
                <w:sz w:val="20"/>
                <w:szCs w:val="21"/>
              </w:rPr>
              <w:t xml:space="preserve"> Hyperlink”)</w:t>
            </w:r>
            <w:r w:rsidR="00E72817" w:rsidRPr="00191E3F">
              <w:rPr>
                <w:rFonts w:ascii="Helvetica" w:hAnsi="Helvetica"/>
                <w:color w:val="5C5C5C"/>
                <w:sz w:val="20"/>
                <w:szCs w:val="21"/>
              </w:rPr>
              <w:t xml:space="preserve"> </w:t>
            </w:r>
          </w:p>
          <w:p w14:paraId="2B47CD35" w14:textId="77777777" w:rsidR="000B372D" w:rsidRDefault="000B372D" w:rsidP="00E72817">
            <w:pPr>
              <w:spacing w:before="150" w:after="150" w:line="360" w:lineRule="auto"/>
              <w:rPr>
                <w:rFonts w:ascii="Helvetica" w:hAnsi="Helvetica"/>
                <w:color w:val="5C5C5C"/>
                <w:sz w:val="21"/>
                <w:szCs w:val="21"/>
              </w:rPr>
            </w:pPr>
            <w:r w:rsidRPr="00191E3F">
              <w:rPr>
                <w:rFonts w:ascii="Helvetica" w:hAnsi="Helvetica"/>
                <w:color w:val="5C5C5C"/>
                <w:sz w:val="20"/>
                <w:szCs w:val="21"/>
              </w:rPr>
              <w:br/>
              <w:t>Headlines on the proposals include: a 300,000 annual housing target; a 30 month time limit to prepare local plans which will be shorter and identify land in three categories of growth, renewal and protection; a single flat rate infrastructure levy to replace section 106 agreements and community infrastructure levy, with a neighbourhood share retained; a new focus on design; and greater use of digital and data. Importantly, neighbourhood planning is being retained, and proposed to be made easier, content more focussed, and a</w:t>
            </w:r>
            <w:r w:rsidR="00191E3F">
              <w:rPr>
                <w:rFonts w:ascii="Helvetica" w:hAnsi="Helvetica"/>
                <w:color w:val="5C5C5C"/>
                <w:sz w:val="20"/>
                <w:szCs w:val="21"/>
              </w:rPr>
              <w:t>gain greater use of technology.</w:t>
            </w:r>
            <w:r w:rsidRPr="00191E3F">
              <w:rPr>
                <w:rFonts w:ascii="Helvetica" w:hAnsi="Helvetica"/>
                <w:color w:val="5C5C5C"/>
                <w:sz w:val="20"/>
                <w:szCs w:val="21"/>
              </w:rPr>
              <w:br/>
              <w:t>The white paper is subject to consultation, and two other policy papers have been published alongside it, and we will be publishing our own consultation documents on these asking for your views to inform our own response. We are hoping to hold an online event to help explain the proposals</w:t>
            </w:r>
            <w:r w:rsidR="00191E3F">
              <w:rPr>
                <w:rFonts w:ascii="Helvetica" w:hAnsi="Helvetica"/>
                <w:color w:val="5C5C5C"/>
                <w:sz w:val="20"/>
                <w:szCs w:val="21"/>
              </w:rPr>
              <w:t>, more details on this shortly.</w:t>
            </w:r>
            <w:r w:rsidRPr="00191E3F">
              <w:rPr>
                <w:rFonts w:ascii="Helvetica" w:hAnsi="Helvetica"/>
                <w:color w:val="5C5C5C"/>
                <w:sz w:val="20"/>
                <w:szCs w:val="21"/>
              </w:rPr>
              <w:br/>
              <w:t>But can I urge all county associations and local councils to put the planning white paper on your agendas over the coming weeks so you can consider the proposals and share your vi</w:t>
            </w:r>
            <w:r w:rsidR="00191E3F">
              <w:rPr>
                <w:rFonts w:ascii="Helvetica" w:hAnsi="Helvetica"/>
                <w:color w:val="5C5C5C"/>
                <w:sz w:val="20"/>
                <w:szCs w:val="21"/>
              </w:rPr>
              <w:t>ews with us and the government.</w:t>
            </w:r>
          </w:p>
        </w:tc>
      </w:tr>
    </w:tbl>
    <w:p w14:paraId="75F25B7C" w14:textId="77777777" w:rsidR="00277AD0" w:rsidRPr="00283DA0" w:rsidRDefault="00277AD0" w:rsidP="00191E3F">
      <w:pPr>
        <w:rPr>
          <w:rFonts w:ascii="Verdana" w:hAnsi="Verdana"/>
          <w:sz w:val="22"/>
        </w:rPr>
      </w:pPr>
    </w:p>
    <w:sectPr w:rsidR="00277AD0" w:rsidRPr="00283DA0" w:rsidSect="00AC6315">
      <w:pgSz w:w="12240" w:h="15840" w:code="1"/>
      <w:pgMar w:top="1440" w:right="1440" w:bottom="1440"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3007"/>
    <w:multiLevelType w:val="hybridMultilevel"/>
    <w:tmpl w:val="569C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grammar="clean"/>
  <w:doNotTrackMoves/>
  <w:defaultTabStop w:val="720"/>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5B13"/>
    <w:rsid w:val="000557D6"/>
    <w:rsid w:val="000B372D"/>
    <w:rsid w:val="000E433D"/>
    <w:rsid w:val="000E484D"/>
    <w:rsid w:val="000E66D2"/>
    <w:rsid w:val="00113B11"/>
    <w:rsid w:val="001222AE"/>
    <w:rsid w:val="001311B3"/>
    <w:rsid w:val="00147247"/>
    <w:rsid w:val="00153E8E"/>
    <w:rsid w:val="0017450F"/>
    <w:rsid w:val="00191E3F"/>
    <w:rsid w:val="001B1794"/>
    <w:rsid w:val="001B7704"/>
    <w:rsid w:val="001C153A"/>
    <w:rsid w:val="001E13DB"/>
    <w:rsid w:val="0020171F"/>
    <w:rsid w:val="00232C77"/>
    <w:rsid w:val="00233291"/>
    <w:rsid w:val="00233611"/>
    <w:rsid w:val="00260528"/>
    <w:rsid w:val="00272264"/>
    <w:rsid w:val="00277AD0"/>
    <w:rsid w:val="00283DA0"/>
    <w:rsid w:val="002D1803"/>
    <w:rsid w:val="00384AD6"/>
    <w:rsid w:val="00385E9A"/>
    <w:rsid w:val="003B3B87"/>
    <w:rsid w:val="003B5B26"/>
    <w:rsid w:val="003F3184"/>
    <w:rsid w:val="00410500"/>
    <w:rsid w:val="0046126C"/>
    <w:rsid w:val="00487255"/>
    <w:rsid w:val="0049329E"/>
    <w:rsid w:val="00524294"/>
    <w:rsid w:val="005B13F0"/>
    <w:rsid w:val="005F6F2D"/>
    <w:rsid w:val="006166ED"/>
    <w:rsid w:val="00645C99"/>
    <w:rsid w:val="006E5708"/>
    <w:rsid w:val="00756C6C"/>
    <w:rsid w:val="0076157F"/>
    <w:rsid w:val="00770250"/>
    <w:rsid w:val="007854EC"/>
    <w:rsid w:val="00787FF0"/>
    <w:rsid w:val="007A0718"/>
    <w:rsid w:val="007A0A32"/>
    <w:rsid w:val="007F596F"/>
    <w:rsid w:val="00811C10"/>
    <w:rsid w:val="00831F14"/>
    <w:rsid w:val="008B6393"/>
    <w:rsid w:val="008F079B"/>
    <w:rsid w:val="008F74F8"/>
    <w:rsid w:val="00930C1F"/>
    <w:rsid w:val="009367F2"/>
    <w:rsid w:val="00941741"/>
    <w:rsid w:val="00954241"/>
    <w:rsid w:val="0098228C"/>
    <w:rsid w:val="009B3C8C"/>
    <w:rsid w:val="009C3A55"/>
    <w:rsid w:val="009F292D"/>
    <w:rsid w:val="00AC6315"/>
    <w:rsid w:val="00B05392"/>
    <w:rsid w:val="00B45C84"/>
    <w:rsid w:val="00B95210"/>
    <w:rsid w:val="00B97633"/>
    <w:rsid w:val="00BB331E"/>
    <w:rsid w:val="00C53460"/>
    <w:rsid w:val="00C66C97"/>
    <w:rsid w:val="00CF2C1A"/>
    <w:rsid w:val="00CF566C"/>
    <w:rsid w:val="00D304B8"/>
    <w:rsid w:val="00E6585E"/>
    <w:rsid w:val="00E715D0"/>
    <w:rsid w:val="00E72817"/>
    <w:rsid w:val="00E73A24"/>
    <w:rsid w:val="00E805E0"/>
    <w:rsid w:val="00E97C91"/>
    <w:rsid w:val="00EC6E45"/>
    <w:rsid w:val="00F03B8D"/>
    <w:rsid w:val="00F1047D"/>
    <w:rsid w:val="00F144BF"/>
    <w:rsid w:val="00FB4F7F"/>
    <w:rsid w:val="00FC590E"/>
    <w:rsid w:val="00FE0AA3"/>
    <w:rsid w:val="00FE6ED9"/>
    <w:rsid w:val="00FF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F97ACB"/>
  <w15:chartTrackingRefBased/>
  <w15:docId w15:val="{0ACD7184-F59D-4D7C-9BB3-96073E5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unhideWhenUsed/>
    <w:rsid w:val="00233291"/>
    <w:pPr>
      <w:spacing w:before="100" w:beforeAutospacing="1" w:after="100" w:afterAutospacing="1"/>
    </w:pPr>
    <w:rPr>
      <w:lang w:eastAsia="en-GB"/>
    </w:rPr>
  </w:style>
  <w:style w:type="table" w:styleId="TableGrid">
    <w:name w:val="Table Grid"/>
    <w:basedOn w:val="TableNormal"/>
    <w:uiPriority w:val="59"/>
    <w:rsid w:val="00FF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B3B87"/>
    <w:rPr>
      <w:rFonts w:eastAsia="Calibri"/>
      <w:lang w:eastAsia="en-GB"/>
    </w:rPr>
  </w:style>
  <w:style w:type="paragraph" w:customStyle="1" w:styleId="xxmsonormal">
    <w:name w:val="x_xmsonormal"/>
    <w:basedOn w:val="Normal"/>
    <w:rsid w:val="006166ED"/>
    <w:rPr>
      <w:rFonts w:eastAsia="Calibri"/>
      <w:lang w:eastAsia="en-GB"/>
    </w:rPr>
  </w:style>
  <w:style w:type="character" w:styleId="Strong">
    <w:name w:val="Strong"/>
    <w:uiPriority w:val="22"/>
    <w:qFormat/>
    <w:rsid w:val="000B372D"/>
    <w:rPr>
      <w:b/>
      <w:bCs/>
    </w:rPr>
  </w:style>
  <w:style w:type="character" w:styleId="FollowedHyperlink">
    <w:name w:val="FollowedHyperlink"/>
    <w:uiPriority w:val="99"/>
    <w:semiHidden/>
    <w:unhideWhenUsed/>
    <w:rsid w:val="000B37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4085">
      <w:bodyDiv w:val="1"/>
      <w:marLeft w:val="0"/>
      <w:marRight w:val="0"/>
      <w:marTop w:val="0"/>
      <w:marBottom w:val="0"/>
      <w:divBdr>
        <w:top w:val="none" w:sz="0" w:space="0" w:color="auto"/>
        <w:left w:val="none" w:sz="0" w:space="0" w:color="auto"/>
        <w:bottom w:val="none" w:sz="0" w:space="0" w:color="auto"/>
        <w:right w:val="none" w:sz="0" w:space="0" w:color="auto"/>
      </w:divBdr>
    </w:div>
    <w:div w:id="135800117">
      <w:bodyDiv w:val="1"/>
      <w:marLeft w:val="0"/>
      <w:marRight w:val="0"/>
      <w:marTop w:val="0"/>
      <w:marBottom w:val="0"/>
      <w:divBdr>
        <w:top w:val="none" w:sz="0" w:space="0" w:color="auto"/>
        <w:left w:val="none" w:sz="0" w:space="0" w:color="auto"/>
        <w:bottom w:val="none" w:sz="0" w:space="0" w:color="auto"/>
        <w:right w:val="none" w:sz="0" w:space="0" w:color="auto"/>
      </w:divBdr>
    </w:div>
    <w:div w:id="242030734">
      <w:bodyDiv w:val="1"/>
      <w:marLeft w:val="0"/>
      <w:marRight w:val="0"/>
      <w:marTop w:val="0"/>
      <w:marBottom w:val="0"/>
      <w:divBdr>
        <w:top w:val="none" w:sz="0" w:space="0" w:color="auto"/>
        <w:left w:val="none" w:sz="0" w:space="0" w:color="auto"/>
        <w:bottom w:val="none" w:sz="0" w:space="0" w:color="auto"/>
        <w:right w:val="none" w:sz="0" w:space="0" w:color="auto"/>
      </w:divBdr>
    </w:div>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545725353">
      <w:bodyDiv w:val="1"/>
      <w:marLeft w:val="0"/>
      <w:marRight w:val="0"/>
      <w:marTop w:val="0"/>
      <w:marBottom w:val="0"/>
      <w:divBdr>
        <w:top w:val="none" w:sz="0" w:space="0" w:color="auto"/>
        <w:left w:val="none" w:sz="0" w:space="0" w:color="auto"/>
        <w:bottom w:val="none" w:sz="0" w:space="0" w:color="auto"/>
        <w:right w:val="none" w:sz="0" w:space="0" w:color="auto"/>
      </w:divBdr>
    </w:div>
    <w:div w:id="1129131043">
      <w:bodyDiv w:val="1"/>
      <w:marLeft w:val="0"/>
      <w:marRight w:val="0"/>
      <w:marTop w:val="0"/>
      <w:marBottom w:val="0"/>
      <w:divBdr>
        <w:top w:val="none" w:sz="0" w:space="0" w:color="auto"/>
        <w:left w:val="none" w:sz="0" w:space="0" w:color="auto"/>
        <w:bottom w:val="none" w:sz="0" w:space="0" w:color="auto"/>
        <w:right w:val="none" w:sz="0" w:space="0" w:color="auto"/>
      </w:divBdr>
    </w:div>
    <w:div w:id="1212378231">
      <w:bodyDiv w:val="1"/>
      <w:marLeft w:val="0"/>
      <w:marRight w:val="0"/>
      <w:marTop w:val="0"/>
      <w:marBottom w:val="0"/>
      <w:divBdr>
        <w:top w:val="none" w:sz="0" w:space="0" w:color="auto"/>
        <w:left w:val="none" w:sz="0" w:space="0" w:color="auto"/>
        <w:bottom w:val="none" w:sz="0" w:space="0" w:color="auto"/>
        <w:right w:val="none" w:sz="0" w:space="0" w:color="auto"/>
      </w:divBdr>
    </w:div>
    <w:div w:id="1217816769">
      <w:bodyDiv w:val="1"/>
      <w:marLeft w:val="0"/>
      <w:marRight w:val="0"/>
      <w:marTop w:val="0"/>
      <w:marBottom w:val="0"/>
      <w:divBdr>
        <w:top w:val="none" w:sz="0" w:space="0" w:color="auto"/>
        <w:left w:val="none" w:sz="0" w:space="0" w:color="auto"/>
        <w:bottom w:val="none" w:sz="0" w:space="0" w:color="auto"/>
        <w:right w:val="none" w:sz="0" w:space="0" w:color="auto"/>
      </w:divBdr>
    </w:div>
    <w:div w:id="1281492222">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837384325">
      <w:bodyDiv w:val="1"/>
      <w:marLeft w:val="0"/>
      <w:marRight w:val="0"/>
      <w:marTop w:val="0"/>
      <w:marBottom w:val="0"/>
      <w:divBdr>
        <w:top w:val="none" w:sz="0" w:space="0" w:color="auto"/>
        <w:left w:val="none" w:sz="0" w:space="0" w:color="auto"/>
        <w:bottom w:val="none" w:sz="0" w:space="0" w:color="auto"/>
        <w:right w:val="none" w:sz="0" w:space="0" w:color="auto"/>
      </w:divBdr>
    </w:div>
    <w:div w:id="1980962483">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alc.us12.list-manage.com/track/click?u=16886b5d6c31eade2f9a50027&amp;id=02e7ad6e72&amp;e=e42e575539" TargetMode="External"/><Relationship Id="rId3" Type="http://schemas.openxmlformats.org/officeDocument/2006/relationships/settings" Target="settings.xml"/><Relationship Id="rId7" Type="http://schemas.openxmlformats.org/officeDocument/2006/relationships/hyperlink" Target="https://nalc.us12.list-manage.com/track/click?u=16886b5d6c31eade2f9a50027&amp;id=1ce7caee5f&amp;e=e42e5755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lerk@chiseldon-pc.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1942</CharactersWithSpaces>
  <SharedDoc>false</SharedDoc>
  <HLinks>
    <vt:vector size="18" baseType="variant">
      <vt:variant>
        <vt:i4>74</vt:i4>
      </vt:variant>
      <vt:variant>
        <vt:i4>3</vt:i4>
      </vt:variant>
      <vt:variant>
        <vt:i4>0</vt:i4>
      </vt:variant>
      <vt:variant>
        <vt:i4>5</vt:i4>
      </vt:variant>
      <vt:variant>
        <vt:lpwstr>https://nalc.us12.list-manage.com/track/click?u=16886b5d6c31eade2f9a50027&amp;id=02e7ad6e72&amp;e=e42e575539</vt:lpwstr>
      </vt:variant>
      <vt:variant>
        <vt:lpwstr/>
      </vt:variant>
      <vt:variant>
        <vt:i4>5374026</vt:i4>
      </vt:variant>
      <vt:variant>
        <vt:i4>0</vt:i4>
      </vt:variant>
      <vt:variant>
        <vt:i4>0</vt:i4>
      </vt:variant>
      <vt:variant>
        <vt:i4>5</vt:i4>
      </vt:variant>
      <vt:variant>
        <vt:lpwstr>https://nalc.us12.list-manage.com/track/click?u=16886b5d6c31eade2f9a50027&amp;id=1ce7caee5f&amp;e=e42e575539</vt:lpwstr>
      </vt:variant>
      <vt:variant>
        <vt:lpwstr/>
      </vt:variant>
      <vt:variant>
        <vt:i4>1966118</vt:i4>
      </vt:variant>
      <vt:variant>
        <vt:i4>0</vt:i4>
      </vt:variant>
      <vt:variant>
        <vt:i4>0</vt:i4>
      </vt:variant>
      <vt:variant>
        <vt:i4>5</vt:i4>
      </vt:variant>
      <vt:variant>
        <vt:lpwstr>mailto:clerk@chiseldon-pc.gov.uk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2020-01-07T19:28:00Z</cp:lastPrinted>
  <dcterms:created xsi:type="dcterms:W3CDTF">2020-08-24T10:44:00Z</dcterms:created>
  <dcterms:modified xsi:type="dcterms:W3CDTF">2020-08-24T10:44:00Z</dcterms:modified>
</cp:coreProperties>
</file>